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A1C13" w14:textId="77777777" w:rsidR="000F62E0" w:rsidRDefault="000F62E0" w:rsidP="000F62E0">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0F62E0">
        <w:rPr>
          <w:rFonts w:ascii="Lato" w:eastAsia="Times New Roman" w:hAnsi="Lato" w:cs="Times New Roman"/>
          <w:color w:val="CC3300"/>
          <w:kern w:val="36"/>
          <w:sz w:val="36"/>
          <w:szCs w:val="36"/>
          <w:lang w:eastAsia="fr-BE"/>
          <w14:ligatures w14:val="none"/>
        </w:rPr>
        <w:t>JP Morgan table sur une progression des cours au 2nd semestre</w:t>
      </w:r>
    </w:p>
    <w:p w14:paraId="367A3940" w14:textId="77777777" w:rsidR="000F62E0" w:rsidRPr="000F62E0" w:rsidRDefault="000F62E0" w:rsidP="000F62E0">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p>
    <w:p w14:paraId="7FE3563C" w14:textId="77777777" w:rsidR="000F62E0" w:rsidRPr="000F62E0" w:rsidRDefault="000F62E0" w:rsidP="000F62E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F62E0">
        <w:rPr>
          <w:rFonts w:ascii="Lato" w:eastAsia="Times New Roman" w:hAnsi="Lato" w:cs="Times New Roman"/>
          <w:b/>
          <w:bCs/>
          <w:color w:val="000000"/>
          <w:kern w:val="0"/>
          <w:sz w:val="23"/>
          <w:szCs w:val="23"/>
          <w:lang w:eastAsia="fr-BE"/>
          <w14:ligatures w14:val="none"/>
        </w:rPr>
        <w:t>La banque d’affaires américaine JP Morgan prévoit une progression des cours du </w:t>
      </w:r>
      <w:r w:rsidRPr="000F62E0">
        <w:rPr>
          <w:rFonts w:ascii="Lato" w:eastAsia="Times New Roman" w:hAnsi="Lato" w:cs="Times New Roman"/>
          <w:b/>
          <w:bCs/>
          <w:color w:val="000000"/>
          <w:kern w:val="0"/>
          <w:sz w:val="23"/>
          <w:szCs w:val="23"/>
          <w:u w:val="single"/>
          <w:lang w:eastAsia="fr-BE"/>
          <w14:ligatures w14:val="none"/>
        </w:rPr>
        <w:t>cuivre</w:t>
      </w:r>
      <w:r w:rsidRPr="000F62E0">
        <w:rPr>
          <w:rFonts w:ascii="Lato" w:eastAsia="Times New Roman" w:hAnsi="Lato" w:cs="Times New Roman"/>
          <w:b/>
          <w:bCs/>
          <w:color w:val="000000"/>
          <w:kern w:val="0"/>
          <w:sz w:val="23"/>
          <w:szCs w:val="23"/>
          <w:lang w:eastAsia="fr-BE"/>
          <w14:ligatures w14:val="none"/>
        </w:rPr>
        <w:t> et de l’</w:t>
      </w:r>
      <w:r w:rsidRPr="000F62E0">
        <w:rPr>
          <w:rFonts w:ascii="Lato" w:eastAsia="Times New Roman" w:hAnsi="Lato" w:cs="Times New Roman"/>
          <w:b/>
          <w:bCs/>
          <w:color w:val="000000"/>
          <w:kern w:val="0"/>
          <w:sz w:val="23"/>
          <w:szCs w:val="23"/>
          <w:u w:val="single"/>
          <w:lang w:eastAsia="fr-BE"/>
          <w14:ligatures w14:val="none"/>
        </w:rPr>
        <w:t>aluminium</w:t>
      </w:r>
      <w:r w:rsidRPr="000F62E0">
        <w:rPr>
          <w:rFonts w:ascii="Lato" w:eastAsia="Times New Roman" w:hAnsi="Lato" w:cs="Times New Roman"/>
          <w:b/>
          <w:bCs/>
          <w:color w:val="000000"/>
          <w:kern w:val="0"/>
          <w:sz w:val="23"/>
          <w:szCs w:val="23"/>
          <w:lang w:eastAsia="fr-BE"/>
          <w14:ligatures w14:val="none"/>
        </w:rPr>
        <w:t> au second semestre 2025, respectivement à 9.225 $/t et 2.325 $/t.</w:t>
      </w:r>
    </w:p>
    <w:p w14:paraId="4F703B40" w14:textId="77777777" w:rsidR="000F62E0" w:rsidRPr="000F62E0" w:rsidRDefault="000F62E0" w:rsidP="000F62E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F62E0">
        <w:rPr>
          <w:rFonts w:ascii="Lato" w:eastAsia="Times New Roman" w:hAnsi="Lato" w:cs="Times New Roman"/>
          <w:color w:val="000000"/>
          <w:kern w:val="0"/>
          <w:sz w:val="23"/>
          <w:szCs w:val="23"/>
          <w:lang w:eastAsia="fr-BE"/>
          <w14:ligatures w14:val="none"/>
        </w:rPr>
        <w:t> </w:t>
      </w:r>
    </w:p>
    <w:p w14:paraId="1F9DDF0B" w14:textId="77777777" w:rsidR="000F62E0" w:rsidRPr="000F62E0" w:rsidRDefault="000F62E0" w:rsidP="000F62E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F62E0">
        <w:rPr>
          <w:rFonts w:ascii="Lato" w:eastAsia="Times New Roman" w:hAnsi="Lato" w:cs="Times New Roman"/>
          <w:color w:val="000000"/>
          <w:kern w:val="0"/>
          <w:sz w:val="23"/>
          <w:szCs w:val="23"/>
          <w:lang w:eastAsia="fr-BE"/>
          <w14:ligatures w14:val="none"/>
        </w:rPr>
        <w:t>La banque invoque la trêve dans l’escalade des tensions commerciales entre les Etats-Unis et la Chine, qui devrait diminuer le risque de récession mondiale, et épargner la demande en métaux de base et, </w:t>
      </w:r>
      <w:r w:rsidRPr="000F62E0">
        <w:rPr>
          <w:rFonts w:ascii="Lato" w:eastAsia="Times New Roman" w:hAnsi="Lato" w:cs="Times New Roman"/>
          <w:i/>
          <w:iCs/>
          <w:color w:val="000000"/>
          <w:kern w:val="0"/>
          <w:sz w:val="23"/>
          <w:szCs w:val="23"/>
          <w:lang w:eastAsia="fr-BE"/>
          <w14:ligatures w14:val="none"/>
        </w:rPr>
        <w:t>in fine, </w:t>
      </w:r>
      <w:r w:rsidRPr="000F62E0">
        <w:rPr>
          <w:rFonts w:ascii="Lato" w:eastAsia="Times New Roman" w:hAnsi="Lato" w:cs="Times New Roman"/>
          <w:color w:val="000000"/>
          <w:kern w:val="0"/>
          <w:sz w:val="23"/>
          <w:szCs w:val="23"/>
          <w:lang w:eastAsia="fr-BE"/>
          <w14:ligatures w14:val="none"/>
        </w:rPr>
        <w:t>les cours.</w:t>
      </w:r>
    </w:p>
    <w:p w14:paraId="068265D7" w14:textId="77777777" w:rsidR="000F62E0" w:rsidRPr="000F62E0" w:rsidRDefault="000F62E0" w:rsidP="000F62E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F62E0">
        <w:rPr>
          <w:rFonts w:ascii="Lato" w:eastAsia="Times New Roman" w:hAnsi="Lato" w:cs="Times New Roman"/>
          <w:color w:val="000000"/>
          <w:kern w:val="0"/>
          <w:sz w:val="23"/>
          <w:szCs w:val="23"/>
          <w:lang w:eastAsia="fr-BE"/>
          <w14:ligatures w14:val="none"/>
        </w:rPr>
        <w:t>Les Etats-Unis et la Chine ont convenu, à Genève, il y a quelques jours, d’une trêve de 90 jours dans l’application des droits de douane historiques de part et d’autre. Ce sursis dans la guerre commerciale permet à la Chine de poursuivre ses achats, de manière temporaire du moins, ce qui soutient à court terme les cours du cuivre et de l’aluminium.</w:t>
      </w:r>
    </w:p>
    <w:p w14:paraId="5389AF76" w14:textId="77777777" w:rsidR="000F62E0" w:rsidRPr="000F62E0" w:rsidRDefault="000F62E0" w:rsidP="000F62E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F62E0">
        <w:rPr>
          <w:rFonts w:ascii="Lato" w:eastAsia="Times New Roman" w:hAnsi="Lato" w:cs="Times New Roman"/>
          <w:color w:val="000000"/>
          <w:kern w:val="0"/>
          <w:sz w:val="23"/>
          <w:szCs w:val="23"/>
          <w:lang w:eastAsia="fr-BE"/>
          <w14:ligatures w14:val="none"/>
        </w:rPr>
        <w:t>Au-delà de la trêve, les cours pourraient toutefois se tasser, les Etats-Unis et la Chine devant à nouveau reprendre le chemin des négociations. « </w:t>
      </w:r>
      <w:r w:rsidRPr="000F62E0">
        <w:rPr>
          <w:rFonts w:ascii="Lato" w:eastAsia="Times New Roman" w:hAnsi="Lato" w:cs="Times New Roman"/>
          <w:i/>
          <w:iCs/>
          <w:color w:val="000000"/>
          <w:kern w:val="0"/>
          <w:sz w:val="23"/>
          <w:szCs w:val="23"/>
          <w:lang w:eastAsia="fr-BE"/>
          <w14:ligatures w14:val="none"/>
        </w:rPr>
        <w:t>En parallèle du recul éventuel de la demande, nous anticipons également un contexte microéconomique tendu pour les métaux tels que le cuivre, qui avait soutenu les cours après les liquidations intervenues début avril en raison du contexte macroéconomique négatif »</w:t>
      </w:r>
      <w:r w:rsidRPr="000F62E0">
        <w:rPr>
          <w:rFonts w:ascii="Lato" w:eastAsia="Times New Roman" w:hAnsi="Lato" w:cs="Times New Roman"/>
          <w:color w:val="000000"/>
          <w:kern w:val="0"/>
          <w:sz w:val="23"/>
          <w:szCs w:val="23"/>
          <w:lang w:eastAsia="fr-BE"/>
          <w14:ligatures w14:val="none"/>
        </w:rPr>
        <w:t>, a indiqué la banque, dans une note.</w:t>
      </w:r>
    </w:p>
    <w:p w14:paraId="641D3135" w14:textId="77777777" w:rsidR="000F62E0" w:rsidRPr="000F62E0" w:rsidRDefault="000F62E0" w:rsidP="000F62E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F62E0">
        <w:rPr>
          <w:rFonts w:ascii="Lato" w:eastAsia="Times New Roman" w:hAnsi="Lato" w:cs="Times New Roman"/>
          <w:color w:val="000000"/>
          <w:kern w:val="0"/>
          <w:sz w:val="23"/>
          <w:szCs w:val="23"/>
          <w:lang w:eastAsia="fr-BE"/>
          <w14:ligatures w14:val="none"/>
        </w:rPr>
        <w:t xml:space="preserve">JP Morgan s'attend, en outre, à un accroissement de l'offre en Asie dans les mois à venir, les expéditions vers les États-Unis se tassant peu à peu. Elles avaient </w:t>
      </w:r>
      <w:proofErr w:type="spellStart"/>
      <w:r w:rsidRPr="000F62E0">
        <w:rPr>
          <w:rFonts w:ascii="Lato" w:eastAsia="Times New Roman" w:hAnsi="Lato" w:cs="Times New Roman"/>
          <w:color w:val="000000"/>
          <w:kern w:val="0"/>
          <w:sz w:val="23"/>
          <w:szCs w:val="23"/>
          <w:lang w:eastAsia="fr-BE"/>
          <w14:ligatures w14:val="none"/>
        </w:rPr>
        <w:t>crû</w:t>
      </w:r>
      <w:proofErr w:type="spellEnd"/>
      <w:r w:rsidRPr="000F62E0">
        <w:rPr>
          <w:rFonts w:ascii="Lato" w:eastAsia="Times New Roman" w:hAnsi="Lato" w:cs="Times New Roman"/>
          <w:color w:val="000000"/>
          <w:kern w:val="0"/>
          <w:sz w:val="23"/>
          <w:szCs w:val="23"/>
          <w:lang w:eastAsia="fr-BE"/>
          <w14:ligatures w14:val="none"/>
        </w:rPr>
        <w:t xml:space="preserve"> après la décision de l’administration américaine d’ouvrir une enquête sur les échanges commerciaux dans secteur du cuivre qui pourrait déboucher sur des droits de douane.</w:t>
      </w:r>
    </w:p>
    <w:p w14:paraId="4EF5BB4F" w14:textId="77777777" w:rsidR="000F62E0" w:rsidRPr="000F62E0" w:rsidRDefault="000F62E0" w:rsidP="000F62E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F62E0">
        <w:rPr>
          <w:rFonts w:ascii="Lato" w:eastAsia="Times New Roman" w:hAnsi="Lato" w:cs="Times New Roman"/>
          <w:color w:val="000000"/>
          <w:kern w:val="0"/>
          <w:sz w:val="23"/>
          <w:szCs w:val="23"/>
          <w:lang w:eastAsia="fr-BE"/>
          <w14:ligatures w14:val="none"/>
        </w:rPr>
        <w:t>Si les cours du cuivre à Londres deviennent plus sensibles aux facteurs chinois lorsqu’ils excèdent 9.500 $/t, la banque estime que le faible niveau des stocks constitue un facteur de soutien.</w:t>
      </w:r>
    </w:p>
    <w:p w14:paraId="441FA59C" w14:textId="77777777" w:rsidR="000F62E0" w:rsidRPr="000F62E0" w:rsidRDefault="000F62E0" w:rsidP="000F62E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F62E0">
        <w:rPr>
          <w:rFonts w:ascii="Lato" w:eastAsia="Times New Roman" w:hAnsi="Lato" w:cs="Times New Roman"/>
          <w:color w:val="000000"/>
          <w:kern w:val="0"/>
          <w:sz w:val="23"/>
          <w:szCs w:val="23"/>
          <w:lang w:eastAsia="fr-BE"/>
          <w14:ligatures w14:val="none"/>
        </w:rPr>
        <w:t>Une baisse significative de la demande automobile, qui représente 25% de la demande mondiale d'aluminium, pourrait, par ailleurs, exposer le métal léger à une baisse en fin d'année, a averti JP Morgan.</w:t>
      </w:r>
    </w:p>
    <w:p w14:paraId="4F15C1EF"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2E0"/>
    <w:rsid w:val="000F62E0"/>
    <w:rsid w:val="00287462"/>
    <w:rsid w:val="00332B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8C51"/>
  <w15:chartTrackingRefBased/>
  <w15:docId w15:val="{E5F59E51-FB83-4058-BD4C-F55538E3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F6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F6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F62E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F62E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F62E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F62E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F62E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F62E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F62E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62E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F62E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F62E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F62E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F62E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F62E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F62E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F62E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F62E0"/>
    <w:rPr>
      <w:rFonts w:eastAsiaTheme="majorEastAsia" w:cstheme="majorBidi"/>
      <w:color w:val="272727" w:themeColor="text1" w:themeTint="D8"/>
    </w:rPr>
  </w:style>
  <w:style w:type="paragraph" w:styleId="Titre">
    <w:name w:val="Title"/>
    <w:basedOn w:val="Normal"/>
    <w:next w:val="Normal"/>
    <w:link w:val="TitreCar"/>
    <w:uiPriority w:val="10"/>
    <w:qFormat/>
    <w:rsid w:val="000F6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F62E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F62E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F62E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F62E0"/>
    <w:pPr>
      <w:spacing w:before="160"/>
      <w:jc w:val="center"/>
    </w:pPr>
    <w:rPr>
      <w:i/>
      <w:iCs/>
      <w:color w:val="404040" w:themeColor="text1" w:themeTint="BF"/>
    </w:rPr>
  </w:style>
  <w:style w:type="character" w:customStyle="1" w:styleId="CitationCar">
    <w:name w:val="Citation Car"/>
    <w:basedOn w:val="Policepardfaut"/>
    <w:link w:val="Citation"/>
    <w:uiPriority w:val="29"/>
    <w:rsid w:val="000F62E0"/>
    <w:rPr>
      <w:i/>
      <w:iCs/>
      <w:color w:val="404040" w:themeColor="text1" w:themeTint="BF"/>
    </w:rPr>
  </w:style>
  <w:style w:type="paragraph" w:styleId="Paragraphedeliste">
    <w:name w:val="List Paragraph"/>
    <w:basedOn w:val="Normal"/>
    <w:uiPriority w:val="34"/>
    <w:qFormat/>
    <w:rsid w:val="000F62E0"/>
    <w:pPr>
      <w:ind w:left="720"/>
      <w:contextualSpacing/>
    </w:pPr>
  </w:style>
  <w:style w:type="character" w:styleId="Accentuationintense">
    <w:name w:val="Intense Emphasis"/>
    <w:basedOn w:val="Policepardfaut"/>
    <w:uiPriority w:val="21"/>
    <w:qFormat/>
    <w:rsid w:val="000F62E0"/>
    <w:rPr>
      <w:i/>
      <w:iCs/>
      <w:color w:val="0F4761" w:themeColor="accent1" w:themeShade="BF"/>
    </w:rPr>
  </w:style>
  <w:style w:type="paragraph" w:styleId="Citationintense">
    <w:name w:val="Intense Quote"/>
    <w:basedOn w:val="Normal"/>
    <w:next w:val="Normal"/>
    <w:link w:val="CitationintenseCar"/>
    <w:uiPriority w:val="30"/>
    <w:qFormat/>
    <w:rsid w:val="000F6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F62E0"/>
    <w:rPr>
      <w:i/>
      <w:iCs/>
      <w:color w:val="0F4761" w:themeColor="accent1" w:themeShade="BF"/>
    </w:rPr>
  </w:style>
  <w:style w:type="character" w:styleId="Rfrenceintense">
    <w:name w:val="Intense Reference"/>
    <w:basedOn w:val="Policepardfaut"/>
    <w:uiPriority w:val="32"/>
    <w:qFormat/>
    <w:rsid w:val="000F62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2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1685</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2025-05-26T05:03:00Z</dcterms:created>
  <dcterms:modified xsi:type="dcterms:W3CDTF">2025-05-26T05:04:00Z</dcterms:modified>
</cp:coreProperties>
</file>